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9004E" w14:textId="77777777" w:rsidR="00D773DC" w:rsidRDefault="00D773DC">
      <w:pPr>
        <w:widowControl w:val="0"/>
        <w:rPr>
          <w:rFonts w:ascii="Arial" w:eastAsia="Arial" w:hAnsi="Arial" w:cs="Arial"/>
          <w:color w:val="000000"/>
        </w:rPr>
      </w:pPr>
    </w:p>
    <w:tbl>
      <w:tblPr>
        <w:tblStyle w:val="a"/>
        <w:tblW w:w="98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25"/>
        <w:gridCol w:w="1800"/>
      </w:tblGrid>
      <w:tr w:rsidR="00D773DC" w14:paraId="270BEC03" w14:textId="77777777">
        <w:trPr>
          <w:trHeight w:val="1960"/>
          <w:jc w:val="center"/>
        </w:trPr>
        <w:tc>
          <w:tcPr>
            <w:tcW w:w="8025" w:type="dxa"/>
            <w:tcMar>
              <w:top w:w="100" w:type="dxa"/>
              <w:left w:w="100" w:type="dxa"/>
              <w:bottom w:w="100" w:type="dxa"/>
              <w:right w:w="100" w:type="dxa"/>
            </w:tcMar>
          </w:tcPr>
          <w:p w14:paraId="0FAD757F" w14:textId="77777777" w:rsidR="00D773DC" w:rsidRDefault="007E3AC4">
            <w:pPr>
              <w:widowControl w:val="0"/>
              <w:spacing w:after="0" w:line="240" w:lineRule="auto"/>
              <w:rPr>
                <w:rFonts w:ascii="Arial" w:eastAsia="Arial" w:hAnsi="Arial" w:cs="Arial"/>
                <w:color w:val="000000"/>
              </w:rPr>
            </w:pPr>
            <w:r>
              <w:rPr>
                <w:rFonts w:ascii="Arial" w:eastAsia="Arial" w:hAnsi="Arial" w:cs="Arial"/>
                <w:noProof/>
                <w:color w:val="000000"/>
              </w:rPr>
              <w:drawing>
                <wp:inline distT="114300" distB="114300" distL="114300" distR="114300" wp14:anchorId="0CB65201" wp14:editId="4974A111">
                  <wp:extent cx="4109186" cy="113706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109186" cy="1137062"/>
                          </a:xfrm>
                          <a:prstGeom prst="rect">
                            <a:avLst/>
                          </a:prstGeom>
                          <a:ln/>
                        </pic:spPr>
                      </pic:pic>
                    </a:graphicData>
                  </a:graphic>
                </wp:inline>
              </w:drawing>
            </w:r>
          </w:p>
        </w:tc>
        <w:tc>
          <w:tcPr>
            <w:tcW w:w="1800" w:type="dxa"/>
            <w:tcMar>
              <w:top w:w="100" w:type="dxa"/>
              <w:left w:w="100" w:type="dxa"/>
              <w:bottom w:w="100" w:type="dxa"/>
              <w:right w:w="100" w:type="dxa"/>
            </w:tcMar>
          </w:tcPr>
          <w:p w14:paraId="0C8155B8" w14:textId="77777777" w:rsidR="00D773DC" w:rsidRDefault="007E3AC4">
            <w:pPr>
              <w:widowControl w:val="0"/>
              <w:spacing w:after="0" w:line="240" w:lineRule="auto"/>
              <w:rPr>
                <w:rFonts w:ascii="Arial" w:eastAsia="Arial" w:hAnsi="Arial" w:cs="Arial"/>
                <w:b/>
                <w:bCs/>
                <w:color w:val="1C4587"/>
              </w:rPr>
            </w:pPr>
            <w:r>
              <w:rPr>
                <w:rFonts w:ascii="Arial" w:eastAsia="Arial" w:hAnsi="Arial" w:cs="Arial"/>
                <w:b/>
                <w:bCs/>
                <w:color w:val="1C4587"/>
              </w:rPr>
              <w:t>Policy Document</w:t>
            </w:r>
          </w:p>
          <w:p w14:paraId="58C21962" w14:textId="77777777" w:rsidR="00D773DC" w:rsidRDefault="00D773DC">
            <w:pPr>
              <w:widowControl w:val="0"/>
              <w:spacing w:after="0" w:line="240" w:lineRule="auto"/>
              <w:rPr>
                <w:rFonts w:ascii="Arial" w:eastAsia="Arial" w:hAnsi="Arial" w:cs="Arial"/>
                <w:color w:val="1C4587"/>
                <w:sz w:val="20"/>
                <w:szCs w:val="20"/>
              </w:rPr>
            </w:pPr>
          </w:p>
          <w:p w14:paraId="29549E84" w14:textId="77777777" w:rsidR="00D773DC" w:rsidRDefault="007E3AC4">
            <w:pPr>
              <w:widowControl w:val="0"/>
              <w:spacing w:after="0" w:line="240" w:lineRule="auto"/>
              <w:rPr>
                <w:rFonts w:ascii="Arial" w:eastAsia="Arial" w:hAnsi="Arial" w:cs="Arial"/>
                <w:color w:val="1C4587"/>
                <w:sz w:val="20"/>
                <w:szCs w:val="20"/>
              </w:rPr>
            </w:pPr>
            <w:r>
              <w:rPr>
                <w:rFonts w:ascii="Arial" w:eastAsia="Arial" w:hAnsi="Arial" w:cs="Arial"/>
                <w:color w:val="1C4587"/>
                <w:sz w:val="20"/>
                <w:szCs w:val="20"/>
              </w:rPr>
              <w:t>Agreed: Dec 25</w:t>
            </w:r>
          </w:p>
          <w:p w14:paraId="2E520698" w14:textId="77777777" w:rsidR="00D773DC" w:rsidRDefault="007E3AC4">
            <w:pPr>
              <w:widowControl w:val="0"/>
              <w:spacing w:after="0" w:line="240" w:lineRule="auto"/>
              <w:rPr>
                <w:rFonts w:ascii="Arial" w:eastAsia="Arial" w:hAnsi="Arial" w:cs="Arial"/>
                <w:color w:val="1C4587"/>
                <w:sz w:val="20"/>
                <w:szCs w:val="20"/>
              </w:rPr>
            </w:pPr>
            <w:r>
              <w:rPr>
                <w:rFonts w:ascii="Arial" w:eastAsia="Arial" w:hAnsi="Arial" w:cs="Arial"/>
                <w:color w:val="1C4587"/>
                <w:sz w:val="20"/>
                <w:szCs w:val="20"/>
              </w:rPr>
              <w:t>Review: Annual</w:t>
            </w:r>
          </w:p>
          <w:p w14:paraId="1BD3CA7D" w14:textId="77777777" w:rsidR="00D773DC" w:rsidRDefault="007E3AC4">
            <w:pPr>
              <w:widowControl w:val="0"/>
              <w:spacing w:after="0" w:line="240" w:lineRule="auto"/>
              <w:rPr>
                <w:rFonts w:ascii="Arial" w:eastAsia="Arial" w:hAnsi="Arial" w:cs="Arial"/>
                <w:color w:val="1C4587"/>
              </w:rPr>
            </w:pPr>
            <w:r>
              <w:rPr>
                <w:rFonts w:ascii="Arial" w:eastAsia="Arial" w:hAnsi="Arial" w:cs="Arial"/>
                <w:color w:val="1C4587"/>
                <w:sz w:val="20"/>
                <w:szCs w:val="20"/>
              </w:rPr>
              <w:t>Date: Dec 26</w:t>
            </w:r>
          </w:p>
        </w:tc>
      </w:tr>
    </w:tbl>
    <w:p w14:paraId="0F69F753" w14:textId="77777777" w:rsidR="00D773DC" w:rsidRDefault="00D773DC">
      <w:pPr>
        <w:widowControl w:val="0"/>
        <w:spacing w:after="0" w:line="240" w:lineRule="auto"/>
        <w:rPr>
          <w:rFonts w:ascii="Arial" w:eastAsia="Arial" w:hAnsi="Arial" w:cs="Arial"/>
          <w:b/>
          <w:bCs/>
          <w:color w:val="000000"/>
        </w:rPr>
      </w:pPr>
    </w:p>
    <w:p w14:paraId="6F41E286" w14:textId="77777777" w:rsidR="00D773DC" w:rsidRDefault="00D773DC">
      <w:pPr>
        <w:widowControl w:val="0"/>
        <w:spacing w:after="0"/>
        <w:jc w:val="center"/>
        <w:rPr>
          <w:rFonts w:ascii="Arial" w:eastAsia="Arial" w:hAnsi="Arial" w:cs="Arial"/>
          <w:color w:val="000000"/>
        </w:rPr>
        <w:sectPr w:rsidR="00D773DC">
          <w:headerReference w:type="default" r:id="rId11"/>
          <w:footerReference w:type="default" r:id="rId12"/>
          <w:pgSz w:w="11906" w:h="16838"/>
          <w:pgMar w:top="0" w:right="571" w:bottom="0" w:left="0" w:header="706" w:footer="706" w:gutter="0"/>
          <w:pgNumType w:start="1"/>
          <w:cols w:space="720"/>
        </w:sectPr>
      </w:pPr>
    </w:p>
    <w:p w14:paraId="4D9C116F" w14:textId="77777777" w:rsidR="00D773DC" w:rsidRDefault="007E3AC4">
      <w:pPr>
        <w:jc w:val="center"/>
        <w:sectPr w:rsidR="00D773DC">
          <w:type w:val="continuous"/>
          <w:pgSz w:w="11906" w:h="16838"/>
          <w:pgMar w:top="0" w:right="0" w:bottom="0" w:left="0" w:header="706" w:footer="706" w:gutter="0"/>
          <w:cols w:space="720"/>
        </w:sectPr>
      </w:pPr>
      <w:r>
        <w:rPr>
          <w:rFonts w:ascii="Arial" w:eastAsia="Arial" w:hAnsi="Arial" w:cs="Arial"/>
          <w:b/>
          <w:bCs/>
          <w:color w:val="000000"/>
          <w:sz w:val="28"/>
          <w:szCs w:val="28"/>
        </w:rPr>
        <w:t>Tilian Staff Induction Policy</w:t>
      </w:r>
    </w:p>
    <w:p w14:paraId="7755B8BF" w14:textId="77777777" w:rsidR="00D773DC" w:rsidRDefault="007E3AC4">
      <w:pPr>
        <w:keepNext/>
        <w:keepLines/>
        <w:numPr>
          <w:ilvl w:val="0"/>
          <w:numId w:val="1"/>
        </w:numPr>
        <w:pBdr>
          <w:top w:val="nil"/>
          <w:left w:val="nil"/>
          <w:bottom w:val="nil"/>
          <w:right w:val="nil"/>
          <w:between w:val="nil"/>
        </w:pBdr>
        <w:spacing w:before="360" w:after="120"/>
      </w:pPr>
      <w:r>
        <w:rPr>
          <w:color w:val="1381BE"/>
          <w:sz w:val="24"/>
          <w:szCs w:val="24"/>
        </w:rPr>
        <w:t>Introduction</w:t>
      </w:r>
    </w:p>
    <w:p w14:paraId="2E9D6708" w14:textId="77777777" w:rsidR="00D773DC" w:rsidRDefault="007E3AC4">
      <w:pPr>
        <w:numPr>
          <w:ilvl w:val="1"/>
          <w:numId w:val="1"/>
        </w:numPr>
        <w:pBdr>
          <w:top w:val="nil"/>
          <w:left w:val="nil"/>
          <w:bottom w:val="nil"/>
          <w:right w:val="nil"/>
          <w:between w:val="nil"/>
        </w:pBdr>
        <w:spacing w:after="120"/>
        <w:ind w:left="1275" w:right="1421" w:firstLine="0"/>
        <w:jc w:val="both"/>
      </w:pPr>
      <w:r>
        <w:rPr>
          <w:sz w:val="21"/>
          <w:szCs w:val="21"/>
        </w:rPr>
        <w:t>This policy applies to all employees and, as appropriate, to volunteers, agency staff and governors who will receive a tailored induction programme which will include appropriate information, training, observation, and mentoring. Safeguarding Children and Child Protection will feature prominently in every induction programme.</w:t>
      </w:r>
    </w:p>
    <w:p w14:paraId="67866A42" w14:textId="77777777" w:rsidR="00D773DC" w:rsidRDefault="007E3AC4">
      <w:pPr>
        <w:numPr>
          <w:ilvl w:val="1"/>
          <w:numId w:val="1"/>
        </w:numPr>
        <w:pBdr>
          <w:top w:val="nil"/>
          <w:left w:val="nil"/>
          <w:bottom w:val="nil"/>
          <w:right w:val="nil"/>
          <w:between w:val="nil"/>
        </w:pBdr>
        <w:spacing w:after="120"/>
        <w:ind w:left="1275" w:right="1421" w:firstLine="0"/>
        <w:jc w:val="both"/>
      </w:pPr>
      <w:r>
        <w:rPr>
          <w:sz w:val="21"/>
          <w:szCs w:val="21"/>
        </w:rPr>
        <w:t xml:space="preserve">The first weeks and months are vital to the success of any appointment. The arrangements made for introducing a new employee, volunteer or governor to the duties of the post, and to the </w:t>
      </w:r>
      <w:proofErr w:type="gramStart"/>
      <w:r>
        <w:rPr>
          <w:sz w:val="21"/>
          <w:szCs w:val="21"/>
        </w:rPr>
        <w:t>school as a whole, provide</w:t>
      </w:r>
      <w:proofErr w:type="gramEnd"/>
      <w:r>
        <w:rPr>
          <w:sz w:val="21"/>
          <w:szCs w:val="21"/>
        </w:rPr>
        <w:t xml:space="preserve"> the foundation for successful and safe contribution to the school. The induction programme is designed to help new employees, volunteers and governors become familiar with the requirements of their position and learn about the school culture, ethos and working practices effectively and efficiently so that they become knowledgeable and confident as quickly as possible. The induction programme should be cross-referenced to the </w:t>
      </w:r>
      <w:r>
        <w:rPr>
          <w:sz w:val="21"/>
          <w:szCs w:val="21"/>
        </w:rPr>
        <w:t>ECT</w:t>
      </w:r>
      <w:r>
        <w:rPr>
          <w:sz w:val="21"/>
          <w:szCs w:val="21"/>
        </w:rPr>
        <w:t xml:space="preserve"> induction requirements and probationary periods for </w:t>
      </w:r>
      <w:r>
        <w:rPr>
          <w:sz w:val="21"/>
          <w:szCs w:val="21"/>
        </w:rPr>
        <w:t>support staff, as appropriate.</w:t>
      </w:r>
    </w:p>
    <w:p w14:paraId="2AA74357" w14:textId="77777777" w:rsidR="00D773DC" w:rsidRDefault="007E3AC4">
      <w:pPr>
        <w:numPr>
          <w:ilvl w:val="1"/>
          <w:numId w:val="1"/>
        </w:numPr>
        <w:pBdr>
          <w:top w:val="nil"/>
          <w:left w:val="nil"/>
          <w:bottom w:val="nil"/>
          <w:right w:val="nil"/>
          <w:between w:val="nil"/>
        </w:pBdr>
        <w:spacing w:after="120"/>
        <w:ind w:left="1275" w:right="1421" w:firstLine="0"/>
        <w:jc w:val="both"/>
      </w:pPr>
      <w:r>
        <w:rPr>
          <w:sz w:val="21"/>
          <w:szCs w:val="21"/>
        </w:rPr>
        <w:t>The induction process will:</w:t>
      </w:r>
    </w:p>
    <w:p w14:paraId="6DCF2084" w14:textId="77777777" w:rsidR="00D773DC" w:rsidRDefault="007E3AC4">
      <w:pPr>
        <w:numPr>
          <w:ilvl w:val="0"/>
          <w:numId w:val="3"/>
        </w:numPr>
        <w:pBdr>
          <w:top w:val="nil"/>
          <w:left w:val="nil"/>
          <w:bottom w:val="nil"/>
          <w:right w:val="nil"/>
          <w:between w:val="nil"/>
        </w:pBdr>
        <w:spacing w:after="0"/>
        <w:ind w:right="1421"/>
        <w:jc w:val="both"/>
        <w:rPr>
          <w:sz w:val="21"/>
          <w:szCs w:val="21"/>
        </w:rPr>
      </w:pPr>
      <w:r>
        <w:rPr>
          <w:sz w:val="21"/>
          <w:szCs w:val="21"/>
        </w:rPr>
        <w:t>Provide information and training on the school’s policies and procedures;</w:t>
      </w:r>
    </w:p>
    <w:p w14:paraId="3E1F65D5" w14:textId="77777777" w:rsidR="00D773DC" w:rsidRDefault="007E3AC4">
      <w:pPr>
        <w:numPr>
          <w:ilvl w:val="0"/>
          <w:numId w:val="3"/>
        </w:numPr>
        <w:pBdr>
          <w:top w:val="nil"/>
          <w:left w:val="nil"/>
          <w:bottom w:val="nil"/>
          <w:right w:val="nil"/>
          <w:between w:val="nil"/>
        </w:pBdr>
        <w:tabs>
          <w:tab w:val="left" w:pos="1560"/>
        </w:tabs>
        <w:spacing w:after="0"/>
        <w:ind w:right="1421"/>
        <w:jc w:val="both"/>
        <w:rPr>
          <w:sz w:val="21"/>
          <w:szCs w:val="21"/>
        </w:rPr>
      </w:pPr>
      <w:r>
        <w:rPr>
          <w:sz w:val="21"/>
          <w:szCs w:val="21"/>
        </w:rPr>
        <w:t>Provide Child Protection training and assess its effectiveness;</w:t>
      </w:r>
    </w:p>
    <w:p w14:paraId="55927C36" w14:textId="77777777" w:rsidR="00D773DC" w:rsidRDefault="007E3AC4">
      <w:pPr>
        <w:numPr>
          <w:ilvl w:val="0"/>
          <w:numId w:val="3"/>
        </w:numPr>
        <w:pBdr>
          <w:top w:val="nil"/>
          <w:left w:val="nil"/>
          <w:bottom w:val="nil"/>
          <w:right w:val="nil"/>
          <w:between w:val="nil"/>
        </w:pBdr>
        <w:spacing w:after="0"/>
        <w:ind w:right="1421"/>
        <w:jc w:val="both"/>
        <w:rPr>
          <w:sz w:val="21"/>
          <w:szCs w:val="21"/>
        </w:rPr>
      </w:pPr>
      <w:r>
        <w:rPr>
          <w:sz w:val="21"/>
          <w:szCs w:val="21"/>
        </w:rPr>
        <w:t>Enable the colleague to contribute to improving and developing the overall effectiveness of the school, raising pupil achievement, and meeting the needs of pupils, parents and the wider community;</w:t>
      </w:r>
    </w:p>
    <w:p w14:paraId="6FB409AB" w14:textId="77777777" w:rsidR="00D773DC" w:rsidRDefault="007E3AC4">
      <w:pPr>
        <w:numPr>
          <w:ilvl w:val="0"/>
          <w:numId w:val="3"/>
        </w:numPr>
        <w:pBdr>
          <w:top w:val="nil"/>
          <w:left w:val="nil"/>
          <w:bottom w:val="nil"/>
          <w:right w:val="nil"/>
          <w:between w:val="nil"/>
        </w:pBdr>
        <w:spacing w:after="0"/>
        <w:ind w:right="1421"/>
        <w:jc w:val="both"/>
        <w:rPr>
          <w:sz w:val="21"/>
          <w:szCs w:val="21"/>
        </w:rPr>
      </w:pPr>
      <w:r>
        <w:rPr>
          <w:sz w:val="21"/>
          <w:szCs w:val="21"/>
        </w:rPr>
        <w:t>Contribute to the colleague’s sense of job satisfaction and personal achievement;</w:t>
      </w:r>
    </w:p>
    <w:p w14:paraId="68E3CE18" w14:textId="77777777" w:rsidR="00D773DC" w:rsidRDefault="007E3AC4">
      <w:pPr>
        <w:numPr>
          <w:ilvl w:val="0"/>
          <w:numId w:val="3"/>
        </w:numPr>
        <w:pBdr>
          <w:top w:val="nil"/>
          <w:left w:val="nil"/>
          <w:bottom w:val="nil"/>
          <w:right w:val="nil"/>
          <w:between w:val="nil"/>
        </w:pBdr>
        <w:spacing w:after="0"/>
        <w:ind w:right="1421"/>
        <w:jc w:val="both"/>
        <w:rPr>
          <w:sz w:val="21"/>
          <w:szCs w:val="21"/>
        </w:rPr>
      </w:pPr>
      <w:r>
        <w:rPr>
          <w:sz w:val="21"/>
          <w:szCs w:val="21"/>
        </w:rPr>
        <w:t>Explain the school’s Code of Conduct to ensure that all employees, volunteers and governors new to the school understand what is expected of them at the school and gain support to achieve those expectations;</w:t>
      </w:r>
    </w:p>
    <w:p w14:paraId="06665AFE" w14:textId="77777777" w:rsidR="00D773DC" w:rsidRDefault="007E3AC4">
      <w:pPr>
        <w:numPr>
          <w:ilvl w:val="0"/>
          <w:numId w:val="3"/>
        </w:numPr>
        <w:pBdr>
          <w:top w:val="nil"/>
          <w:left w:val="nil"/>
          <w:bottom w:val="nil"/>
          <w:right w:val="nil"/>
          <w:between w:val="nil"/>
        </w:pBdr>
        <w:spacing w:after="0"/>
        <w:ind w:right="1421"/>
        <w:jc w:val="both"/>
        <w:rPr>
          <w:sz w:val="21"/>
          <w:szCs w:val="21"/>
        </w:rPr>
      </w:pPr>
      <w:r>
        <w:rPr>
          <w:sz w:val="21"/>
          <w:szCs w:val="21"/>
        </w:rPr>
        <w:t>Identify and address any specific training needs.</w:t>
      </w:r>
    </w:p>
    <w:p w14:paraId="1FBD87CF" w14:textId="77777777" w:rsidR="00D773DC" w:rsidRDefault="007E3AC4">
      <w:pPr>
        <w:numPr>
          <w:ilvl w:val="1"/>
          <w:numId w:val="1"/>
        </w:numPr>
        <w:pBdr>
          <w:top w:val="nil"/>
          <w:left w:val="nil"/>
          <w:bottom w:val="nil"/>
          <w:right w:val="nil"/>
          <w:between w:val="nil"/>
        </w:pBdr>
        <w:spacing w:after="120"/>
        <w:ind w:left="1275" w:right="1421" w:firstLine="0"/>
        <w:jc w:val="both"/>
      </w:pPr>
      <w:r>
        <w:rPr>
          <w:sz w:val="21"/>
          <w:szCs w:val="21"/>
        </w:rPr>
        <w:t>The induction programme will include:</w:t>
      </w:r>
    </w:p>
    <w:p w14:paraId="450FD941" w14:textId="77777777" w:rsidR="00D773DC" w:rsidRDefault="007E3AC4">
      <w:pPr>
        <w:numPr>
          <w:ilvl w:val="0"/>
          <w:numId w:val="2"/>
        </w:numPr>
        <w:pBdr>
          <w:top w:val="nil"/>
          <w:left w:val="nil"/>
          <w:bottom w:val="nil"/>
          <w:right w:val="nil"/>
          <w:between w:val="nil"/>
        </w:pBdr>
        <w:spacing w:after="0"/>
        <w:ind w:right="1421"/>
        <w:jc w:val="both"/>
        <w:rPr>
          <w:sz w:val="21"/>
          <w:szCs w:val="21"/>
        </w:rPr>
      </w:pPr>
      <w:r>
        <w:rPr>
          <w:sz w:val="21"/>
          <w:szCs w:val="21"/>
        </w:rPr>
        <w:t>An induction checklist of the policies, procedures and training to be covered;</w:t>
      </w:r>
    </w:p>
    <w:p w14:paraId="0C0E7047" w14:textId="77777777" w:rsidR="00D773DC" w:rsidRDefault="007E3AC4">
      <w:pPr>
        <w:numPr>
          <w:ilvl w:val="0"/>
          <w:numId w:val="2"/>
        </w:numPr>
        <w:pBdr>
          <w:top w:val="nil"/>
          <w:left w:val="nil"/>
          <w:bottom w:val="nil"/>
          <w:right w:val="nil"/>
          <w:between w:val="nil"/>
        </w:pBdr>
        <w:spacing w:after="0"/>
        <w:ind w:right="1421"/>
        <w:jc w:val="both"/>
        <w:rPr>
          <w:sz w:val="21"/>
          <w:szCs w:val="21"/>
        </w:rPr>
      </w:pPr>
      <w:r>
        <w:rPr>
          <w:sz w:val="21"/>
          <w:szCs w:val="21"/>
        </w:rPr>
        <w:t>An induction timetable;</w:t>
      </w:r>
    </w:p>
    <w:p w14:paraId="20F60938" w14:textId="77777777" w:rsidR="00D773DC" w:rsidRDefault="007E3AC4">
      <w:pPr>
        <w:numPr>
          <w:ilvl w:val="0"/>
          <w:numId w:val="2"/>
        </w:numPr>
        <w:pBdr>
          <w:top w:val="nil"/>
          <w:left w:val="nil"/>
          <w:bottom w:val="nil"/>
          <w:right w:val="nil"/>
          <w:between w:val="nil"/>
        </w:pBdr>
        <w:spacing w:after="0"/>
        <w:ind w:right="1421"/>
        <w:jc w:val="both"/>
        <w:rPr>
          <w:sz w:val="21"/>
          <w:szCs w:val="21"/>
        </w:rPr>
      </w:pPr>
      <w:r>
        <w:rPr>
          <w:sz w:val="21"/>
          <w:szCs w:val="21"/>
        </w:rPr>
        <w:t>Details of help and support available;</w:t>
      </w:r>
    </w:p>
    <w:p w14:paraId="19CC7061" w14:textId="77777777" w:rsidR="00D773DC" w:rsidRDefault="007E3AC4">
      <w:pPr>
        <w:numPr>
          <w:ilvl w:val="0"/>
          <w:numId w:val="2"/>
        </w:numPr>
        <w:pBdr>
          <w:top w:val="nil"/>
          <w:left w:val="nil"/>
          <w:bottom w:val="nil"/>
          <w:right w:val="nil"/>
          <w:between w:val="nil"/>
        </w:pBdr>
        <w:spacing w:after="0"/>
        <w:ind w:right="1421"/>
        <w:jc w:val="both"/>
        <w:rPr>
          <w:sz w:val="21"/>
          <w:szCs w:val="21"/>
        </w:rPr>
      </w:pPr>
      <w:r>
        <w:rPr>
          <w:sz w:val="21"/>
          <w:szCs w:val="21"/>
        </w:rPr>
        <w:t>Details of work shadowing, if appropriate;</w:t>
      </w:r>
    </w:p>
    <w:p w14:paraId="52FFF435" w14:textId="77777777" w:rsidR="00D773DC" w:rsidRDefault="007E3AC4">
      <w:pPr>
        <w:numPr>
          <w:ilvl w:val="0"/>
          <w:numId w:val="2"/>
        </w:numPr>
        <w:pBdr>
          <w:top w:val="nil"/>
          <w:left w:val="nil"/>
          <w:bottom w:val="nil"/>
          <w:right w:val="nil"/>
          <w:between w:val="nil"/>
        </w:pBdr>
        <w:spacing w:after="0"/>
        <w:ind w:right="1421"/>
        <w:jc w:val="both"/>
        <w:rPr>
          <w:sz w:val="21"/>
          <w:szCs w:val="21"/>
        </w:rPr>
      </w:pPr>
      <w:r>
        <w:rPr>
          <w:sz w:val="21"/>
          <w:szCs w:val="21"/>
        </w:rPr>
        <w:t>A diary of induction meetings;</w:t>
      </w:r>
    </w:p>
    <w:p w14:paraId="40486D38" w14:textId="77777777" w:rsidR="00D773DC" w:rsidRDefault="007E3AC4">
      <w:pPr>
        <w:numPr>
          <w:ilvl w:val="0"/>
          <w:numId w:val="2"/>
        </w:numPr>
        <w:pBdr>
          <w:top w:val="nil"/>
          <w:left w:val="nil"/>
          <w:bottom w:val="nil"/>
          <w:right w:val="nil"/>
          <w:between w:val="nil"/>
        </w:pBdr>
        <w:spacing w:after="80"/>
        <w:ind w:right="1421"/>
        <w:jc w:val="both"/>
        <w:rPr>
          <w:sz w:val="21"/>
          <w:szCs w:val="21"/>
        </w:rPr>
      </w:pPr>
      <w:r>
        <w:rPr>
          <w:sz w:val="21"/>
          <w:szCs w:val="21"/>
        </w:rPr>
        <w:t>Details of other relevant individuals with responsibility for induction e.g. the designated mentor or supervisor.</w:t>
      </w:r>
    </w:p>
    <w:p w14:paraId="3592E0A0" w14:textId="77777777" w:rsidR="00D773DC" w:rsidRDefault="007E3AC4">
      <w:pPr>
        <w:keepNext/>
        <w:keepLines/>
        <w:numPr>
          <w:ilvl w:val="0"/>
          <w:numId w:val="1"/>
        </w:numPr>
        <w:pBdr>
          <w:top w:val="nil"/>
          <w:left w:val="nil"/>
          <w:bottom w:val="nil"/>
          <w:right w:val="nil"/>
          <w:between w:val="nil"/>
        </w:pBdr>
        <w:spacing w:before="240" w:after="120"/>
        <w:ind w:left="1275" w:right="1421" w:firstLine="0"/>
      </w:pPr>
      <w:r>
        <w:rPr>
          <w:color w:val="1381BE"/>
          <w:sz w:val="24"/>
          <w:szCs w:val="24"/>
        </w:rPr>
        <w:t>Tilian Induction Pack</w:t>
      </w:r>
    </w:p>
    <w:p w14:paraId="5EC02773" w14:textId="77777777" w:rsidR="00D773DC" w:rsidRDefault="007E3AC4">
      <w:pPr>
        <w:pBdr>
          <w:top w:val="nil"/>
          <w:left w:val="nil"/>
          <w:bottom w:val="nil"/>
          <w:right w:val="nil"/>
          <w:between w:val="nil"/>
        </w:pBdr>
        <w:spacing w:after="80"/>
        <w:ind w:left="1275" w:right="1421"/>
      </w:pPr>
      <w:hyperlink r:id="rId13">
        <w:r>
          <w:rPr>
            <w:color w:val="1155CC"/>
            <w:sz w:val="21"/>
            <w:szCs w:val="21"/>
            <w:u w:val="single"/>
          </w:rPr>
          <w:t xml:space="preserve">Click here to view the Tilian Induction Pack </w:t>
        </w:r>
      </w:hyperlink>
    </w:p>
    <w:sectPr w:rsidR="00D773DC">
      <w:type w:val="continuous"/>
      <w:pgSz w:w="11906" w:h="16838"/>
      <w:pgMar w:top="0" w:right="0" w:bottom="0" w:left="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1CDB9" w14:textId="77777777" w:rsidR="007E3AC4" w:rsidRDefault="007E3AC4">
      <w:pPr>
        <w:spacing w:after="0" w:line="240" w:lineRule="auto"/>
      </w:pPr>
      <w:r>
        <w:separator/>
      </w:r>
    </w:p>
  </w:endnote>
  <w:endnote w:type="continuationSeparator" w:id="0">
    <w:p w14:paraId="4A84B18D" w14:textId="77777777" w:rsidR="007E3AC4" w:rsidRDefault="007E3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F841ADD-82C2-4E74-A3DE-EA747E5D3C5F}"/>
    <w:embedBold r:id="rId2" w:fontKey="{B74B1CA3-5B6E-4BA0-AC31-A69CD358DA3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A05B2C62-4758-422E-95C8-3719B2D74AAB}"/>
  </w:font>
  <w:font w:name="Georgia">
    <w:panose1 w:val="02040502050405020303"/>
    <w:charset w:val="00"/>
    <w:family w:val="auto"/>
    <w:pitch w:val="default"/>
    <w:embedItalic r:id="rId4" w:fontKey="{A84EF3BF-08A2-4BD8-9CC3-4EF5F01563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E21DF" w14:textId="77777777" w:rsidR="00D773DC" w:rsidRDefault="007E3AC4">
    <w:pPr>
      <w:pBdr>
        <w:top w:val="nil"/>
        <w:left w:val="nil"/>
        <w:bottom w:val="nil"/>
        <w:right w:val="nil"/>
        <w:between w:val="nil"/>
      </w:pBdr>
      <w:tabs>
        <w:tab w:val="center" w:pos="4513"/>
        <w:tab w:val="right" w:pos="9026"/>
      </w:tabs>
      <w:spacing w:after="0" w:line="240" w:lineRule="auto"/>
      <w:jc w:val="right"/>
    </w:pPr>
    <w:r>
      <w:fldChar w:fldCharType="begin"/>
    </w:r>
    <w:r>
      <w:instrText>PAGE</w:instrText>
    </w:r>
    <w:r>
      <w:fldChar w:fldCharType="separate"/>
    </w:r>
    <w:r w:rsidR="002511E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4701F" w14:textId="77777777" w:rsidR="007E3AC4" w:rsidRDefault="007E3AC4">
      <w:pPr>
        <w:spacing w:after="0" w:line="240" w:lineRule="auto"/>
      </w:pPr>
      <w:r>
        <w:separator/>
      </w:r>
    </w:p>
  </w:footnote>
  <w:footnote w:type="continuationSeparator" w:id="0">
    <w:p w14:paraId="0FD44EB8" w14:textId="77777777" w:rsidR="007E3AC4" w:rsidRDefault="007E3A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CB23A" w14:textId="77777777" w:rsidR="00D773DC" w:rsidRDefault="00D773DC">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02B5E"/>
    <w:multiLevelType w:val="multilevel"/>
    <w:tmpl w:val="C8981CB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D9254DF"/>
    <w:multiLevelType w:val="multilevel"/>
    <w:tmpl w:val="8A846CE6"/>
    <w:lvl w:ilvl="0">
      <w:start w:val="1"/>
      <w:numFmt w:val="decimal"/>
      <w:lvlText w:val="%1."/>
      <w:lvlJc w:val="left"/>
      <w:pPr>
        <w:ind w:left="900" w:hanging="360"/>
      </w:pPr>
      <w:rPr>
        <w:color w:val="1381BE"/>
      </w:rPr>
    </w:lvl>
    <w:lvl w:ilvl="1">
      <w:start w:val="1"/>
      <w:numFmt w:val="decimal"/>
      <w:lvlText w:val="%1.%2."/>
      <w:lvlJc w:val="left"/>
      <w:pPr>
        <w:ind w:left="792" w:hanging="432"/>
      </w:pPr>
      <w:rPr>
        <w:b w:val="0"/>
        <w:bCs w:val="0"/>
        <w:i w:val="0"/>
        <w:iCs w:val="0"/>
        <w:smallCaps w:val="0"/>
        <w:strike w:val="0"/>
        <w:u w:val="none"/>
        <w:vertAlign w:val="baseline"/>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EAD1936"/>
    <w:multiLevelType w:val="multilevel"/>
    <w:tmpl w:val="AC746FE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2001883939">
    <w:abstractNumId w:val="1"/>
  </w:num>
  <w:num w:numId="2" w16cid:durableId="1640185051">
    <w:abstractNumId w:val="0"/>
  </w:num>
  <w:num w:numId="3" w16cid:durableId="9554098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DC"/>
    <w:rsid w:val="002511E1"/>
    <w:rsid w:val="007E3AC4"/>
    <w:rsid w:val="00C038C2"/>
    <w:rsid w:val="00D773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64201"/>
  <w15:docId w15:val="{41B1D187-6A09-47C7-9FF8-18E05B032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2F3033"/>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center" w:pos="4513"/>
      </w:tabs>
      <w:spacing w:before="120" w:after="120" w:line="240" w:lineRule="auto"/>
      <w:outlineLvl w:val="0"/>
    </w:pPr>
    <w:rPr>
      <w:color w:val="1381BE"/>
      <w:sz w:val="40"/>
      <w:szCs w:val="40"/>
    </w:rPr>
  </w:style>
  <w:style w:type="paragraph" w:styleId="Heading2">
    <w:name w:val="heading 2"/>
    <w:basedOn w:val="Normal"/>
    <w:next w:val="Normal"/>
    <w:uiPriority w:val="9"/>
    <w:semiHidden/>
    <w:unhideWhenUsed/>
    <w:qFormat/>
    <w:pPr>
      <w:keepNext/>
      <w:keepLines/>
      <w:spacing w:before="360" w:after="120"/>
      <w:jc w:val="both"/>
      <w:outlineLvl w:val="1"/>
    </w:pPr>
    <w:rPr>
      <w:color w:val="1381BE"/>
      <w:sz w:val="24"/>
      <w:szCs w:val="24"/>
    </w:rPr>
  </w:style>
  <w:style w:type="paragraph" w:styleId="Heading3">
    <w:name w:val="heading 3"/>
    <w:basedOn w:val="Normal"/>
    <w:next w:val="Normal"/>
    <w:uiPriority w:val="9"/>
    <w:semiHidden/>
    <w:unhideWhenUsed/>
    <w:qFormat/>
    <w:pPr>
      <w:keepNext/>
      <w:keepLines/>
      <w:spacing w:before="360" w:after="120"/>
      <w:jc w:val="both"/>
      <w:outlineLvl w:val="2"/>
    </w:pPr>
    <w:rPr>
      <w:color w:val="FF4874"/>
    </w:rPr>
  </w:style>
  <w:style w:type="paragraph" w:styleId="Heading4">
    <w:name w:val="heading 4"/>
    <w:basedOn w:val="Normal"/>
    <w:next w:val="Normal"/>
    <w:uiPriority w:val="9"/>
    <w:semiHidden/>
    <w:unhideWhenUsed/>
    <w:qFormat/>
    <w:pPr>
      <w:keepNext/>
      <w:spacing w:before="280" w:after="120"/>
      <w:ind w:left="1440" w:hanging="1440"/>
      <w:jc w:val="center"/>
      <w:outlineLvl w:val="3"/>
    </w:pPr>
    <w:rPr>
      <w:rFonts w:ascii="Arial" w:eastAsia="Arial" w:hAnsi="Arial" w:cs="Arial"/>
      <w:b/>
      <w:bCs/>
      <w:color w:val="000000"/>
      <w:sz w:val="16"/>
      <w:szCs w:val="16"/>
    </w:rPr>
  </w:style>
  <w:style w:type="paragraph" w:styleId="Heading5">
    <w:name w:val="heading 5"/>
    <w:basedOn w:val="Normal"/>
    <w:next w:val="Normal"/>
    <w:uiPriority w:val="9"/>
    <w:semiHidden/>
    <w:unhideWhenUsed/>
    <w:qFormat/>
    <w:pPr>
      <w:keepNext/>
      <w:keepLines/>
      <w:spacing w:before="40" w:after="0"/>
      <w:outlineLvl w:val="4"/>
    </w:pPr>
    <w:rPr>
      <w:rFonts w:ascii="Cambria" w:eastAsia="Cambria" w:hAnsi="Cambria" w:cs="Cambria"/>
      <w:color w:val="A5A5A5"/>
    </w:rPr>
  </w:style>
  <w:style w:type="paragraph" w:styleId="Heading6">
    <w:name w:val="heading 6"/>
    <w:basedOn w:val="Normal"/>
    <w:next w:val="Normal"/>
    <w:uiPriority w:val="9"/>
    <w:semiHidden/>
    <w:unhideWhenUsed/>
    <w:qFormat/>
    <w:pPr>
      <w:keepNext/>
      <w:keepLines/>
      <w:spacing w:before="40" w:after="0"/>
      <w:outlineLvl w:val="5"/>
    </w:pPr>
    <w:rPr>
      <w:rFonts w:ascii="Cambria" w:eastAsia="Cambria" w:hAnsi="Cambria" w:cs="Cambria"/>
      <w:color w:val="6E6E6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cs.google.com/document/d/12KxwLEwkLxpIm_vIKYrjcrrcnGtv22JSoxAy_JCZl0E/edit?usp=sharin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33568DFD4DE24FA31FD78AF77957B9" ma:contentTypeVersion="23" ma:contentTypeDescription="Create a new document." ma:contentTypeScope="" ma:versionID="061d1b6c7ca51fc604c4f79f0bc3a6b0">
  <xsd:schema xmlns:xsd="http://www.w3.org/2001/XMLSchema" xmlns:xs="http://www.w3.org/2001/XMLSchema" xmlns:p="http://schemas.microsoft.com/office/2006/metadata/properties" xmlns:ns2="2d89081f-6c64-408f-b9dd-c27e8c88cdc8" xmlns:ns3="a6d87e3d-d9df-4832-a311-66066ac8fdc6" xmlns:ns4="75304046-ffad-4f70-9f4b-bbc776f1b690" targetNamespace="http://schemas.microsoft.com/office/2006/metadata/properties" ma:root="true" ma:fieldsID="f61531e0dd6c519d1341238ade94a4f7" ns2:_="" ns3:_="" ns4:_="">
    <xsd:import namespace="2d89081f-6c64-408f-b9dd-c27e8c88cdc8"/>
    <xsd:import namespace="a6d87e3d-d9df-4832-a311-66066ac8fdc6"/>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Thumbnail" minOccurs="0"/>
                <xsd:element ref="ns2:MediaServiceLocation" minOccurs="0"/>
                <xsd:element ref="ns2:Link"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9081f-6c64-408f-b9dd-c27e8c88c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element name="MediaServiceLocation" ma:index="20" nillable="true" ma:displayName="Location" ma:internalName="MediaServiceLocation" ma:readOnly="true">
      <xsd:simpleType>
        <xsd:restriction base="dms:Text"/>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d87e3d-d9df-4832-a311-66066ac8fdc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443bfd5-b865-42cb-a136-dad46788d76d}" ma:internalName="TaxCatchAll" ma:showField="CatchAllData" ma:web="a6d87e3d-d9df-4832-a311-66066ac8fd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nk xmlns="2d89081f-6c64-408f-b9dd-c27e8c88cdc8">
      <Url xsi:nil="true"/>
      <Description xsi:nil="true"/>
    </Link>
    <Thumbnail xmlns="2d89081f-6c64-408f-b9dd-c27e8c88cdc8" xsi:nil="true"/>
    <lcf76f155ced4ddcb4097134ff3c332f xmlns="2d89081f-6c64-408f-b9dd-c27e8c88cdc8">
      <Terms xmlns="http://schemas.microsoft.com/office/infopath/2007/PartnerControls"/>
    </lcf76f155ced4ddcb4097134ff3c332f>
    <TaxCatchAll xmlns="75304046-ffad-4f70-9f4b-bbc776f1b690" xsi:nil="true"/>
  </documentManagement>
</p:properties>
</file>

<file path=customXml/itemProps1.xml><?xml version="1.0" encoding="utf-8"?>
<ds:datastoreItem xmlns:ds="http://schemas.openxmlformats.org/officeDocument/2006/customXml" ds:itemID="{CB6ECE9E-47FD-4949-8B69-5F80BCD261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9081f-6c64-408f-b9dd-c27e8c88cdc8"/>
    <ds:schemaRef ds:uri="a6d87e3d-d9df-4832-a311-66066ac8fdc6"/>
    <ds:schemaRef ds:uri="75304046-ffad-4f70-9f4b-bbc776f1b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408C52-2BAE-40A4-A83E-E85428098528}">
  <ds:schemaRefs>
    <ds:schemaRef ds:uri="http://schemas.microsoft.com/sharepoint/v3/contenttype/forms"/>
  </ds:schemaRefs>
</ds:datastoreItem>
</file>

<file path=customXml/itemProps3.xml><?xml version="1.0" encoding="utf-8"?>
<ds:datastoreItem xmlns:ds="http://schemas.openxmlformats.org/officeDocument/2006/customXml" ds:itemID="{30967622-F99D-49DA-9B62-B8F787AD140E}">
  <ds:schemaRefs>
    <ds:schemaRef ds:uri="http://schemas.microsoft.com/office/2006/metadata/properties"/>
    <ds:schemaRef ds:uri="http://schemas.microsoft.com/office/infopath/2007/PartnerControls"/>
    <ds:schemaRef ds:uri="2d89081f-6c64-408f-b9dd-c27e8c88cdc8"/>
    <ds:schemaRef ds:uri="75304046-ffad-4f70-9f4b-bbc776f1b69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361</Words>
  <Characters>2059</Characters>
  <Application>Microsoft Office Word</Application>
  <DocSecurity>4</DocSecurity>
  <Lines>17</Lines>
  <Paragraphs>4</Paragraphs>
  <ScaleCrop>false</ScaleCrop>
  <Company/>
  <LinksUpToDate>false</LinksUpToDate>
  <CharactersWithSpaces>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Wendt</cp:lastModifiedBy>
  <cp:revision>2</cp:revision>
  <dcterms:created xsi:type="dcterms:W3CDTF">2026-06-29T09:00:00Z</dcterms:created>
  <dcterms:modified xsi:type="dcterms:W3CDTF">2026-06-29T09:00:00Z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0x0101002F33568DFD4DE24FA31FD78AF77957B9</vt:lpwstr>
  </property>
  <property fmtid="{D5CDD505-2E9C-101B-9397-08002B2CF9AE}" pid="3" name="MediaServiceImageTags">
    <vt:lpwstr/>
  </property>
</Properties>
</file>